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69131A" w14:textId="77777777" w:rsidR="002E4C66" w:rsidRDefault="0000000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Table1"/>
      <w:r>
        <w:rPr>
          <w:rFonts w:ascii="Times New Roman" w:hAnsi="Times New Roman" w:cs="Times New Roman"/>
          <w:sz w:val="24"/>
          <w:szCs w:val="24"/>
        </w:rPr>
        <w:t xml:space="preserve">Table </w:t>
      </w:r>
      <w:r>
        <w:rPr>
          <w:rFonts w:ascii="Times New Roman" w:hAnsi="Times New Roman" w:cs="Times New Roman" w:hint="eastAsia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SEQ Table \* ARABIC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bookmarkEnd w:id="0"/>
      <w:r>
        <w:rPr>
          <w:rFonts w:ascii="Times New Roman" w:hAnsi="Times New Roman" w:cs="Times New Roman"/>
          <w:sz w:val="24"/>
          <w:szCs w:val="24"/>
        </w:rPr>
        <w:t>Univariable Cox regression analysis of long-term outcomes</w:t>
      </w:r>
    </w:p>
    <w:tbl>
      <w:tblPr>
        <w:tblStyle w:val="a8"/>
        <w:tblpPr w:leftFromText="180" w:rightFromText="180" w:vertAnchor="page" w:horzAnchor="margin" w:tblpXSpec="center" w:tblpY="1965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36"/>
        <w:gridCol w:w="1469"/>
        <w:gridCol w:w="845"/>
        <w:gridCol w:w="1469"/>
        <w:gridCol w:w="845"/>
        <w:gridCol w:w="1477"/>
        <w:gridCol w:w="948"/>
      </w:tblGrid>
      <w:tr w:rsidR="002E4C66" w14:paraId="7B3A6F3F" w14:textId="77777777">
        <w:trPr>
          <w:trHeight w:val="420"/>
        </w:trPr>
        <w:tc>
          <w:tcPr>
            <w:tcW w:w="0" w:type="auto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A0EA0D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1" w:name="_Hlk113425358"/>
            <w:r>
              <w:rPr>
                <w:rFonts w:ascii="Times New Roman" w:hAnsi="Times New Roman" w:cs="Times New Roman" w:hint="eastAsia"/>
                <w:sz w:val="20"/>
                <w:szCs w:val="20"/>
              </w:rPr>
              <w:t>V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ariables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E3C39A2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All-cause Mortality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77BCF4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Cardiac Mortality</w:t>
            </w:r>
          </w:p>
        </w:tc>
        <w:tc>
          <w:tcPr>
            <w:tcW w:w="2420" w:type="dxa"/>
            <w:gridSpan w:val="2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33CA8419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MACCE</w:t>
            </w:r>
          </w:p>
        </w:tc>
      </w:tr>
      <w:tr w:rsidR="002E4C66" w14:paraId="3A883BF4" w14:textId="77777777">
        <w:trPr>
          <w:trHeight w:val="420"/>
        </w:trPr>
        <w:tc>
          <w:tcPr>
            <w:tcW w:w="0" w:type="auto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CABE9F" w14:textId="77777777" w:rsidR="002E4C66" w:rsidRDefault="002E4C6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BFFA19D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HR (95%CI)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8E80BA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p-value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13FD2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HR (95%CI)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EE49CB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p-value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5BD0A6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HR (95%CI)</w:t>
            </w:r>
          </w:p>
        </w:tc>
        <w:tc>
          <w:tcPr>
            <w:tcW w:w="94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60396F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p-value</w:t>
            </w:r>
          </w:p>
        </w:tc>
      </w:tr>
      <w:tr w:rsidR="002E4C66" w14:paraId="090862BB" w14:textId="77777777">
        <w:trPr>
          <w:trHeight w:val="426"/>
        </w:trPr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1770D74F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Age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00B91B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1.06(1.02-1.10)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CA1E9F" w14:textId="77777777" w:rsidR="002E4C66" w:rsidRDefault="00000000">
            <w:pPr>
              <w:widowControl/>
              <w:jc w:val="center"/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0.001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A057D2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1.05(1.00-1.09)</w:t>
            </w:r>
          </w:p>
        </w:tc>
        <w:tc>
          <w:tcPr>
            <w:tcW w:w="0" w:type="auto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5F9DF36A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0.029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9900B9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1.01(0.99-1.02)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61970C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0.401</w:t>
            </w:r>
          </w:p>
        </w:tc>
      </w:tr>
      <w:tr w:rsidR="002E4C66" w14:paraId="2FCA7B05" w14:textId="77777777">
        <w:trPr>
          <w:trHeight w:val="420"/>
        </w:trPr>
        <w:tc>
          <w:tcPr>
            <w:tcW w:w="0" w:type="auto"/>
            <w:vAlign w:val="center"/>
          </w:tcPr>
          <w:p w14:paraId="21C04AA5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Male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FC63F2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1.11(0.66-1.87)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932A1C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0.698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C33CED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0.99(0.53-1.88)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2053841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0.986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D4BB529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0.79(0.61-1.02)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71AB6D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0.067</w:t>
            </w:r>
          </w:p>
        </w:tc>
      </w:tr>
      <w:tr w:rsidR="002E4C66" w14:paraId="27B4764F" w14:textId="77777777">
        <w:trPr>
          <w:trHeight w:val="420"/>
        </w:trPr>
        <w:tc>
          <w:tcPr>
            <w:tcW w:w="0" w:type="auto"/>
            <w:vAlign w:val="center"/>
          </w:tcPr>
          <w:p w14:paraId="05DE439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BMI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D2AF7F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0.88(0.79-0.99)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A3803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0.032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E7A991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0.90(0.78-1.03)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05002C3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0.134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886D2F9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1.02(0.97-1.08)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587605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0.394</w:t>
            </w:r>
          </w:p>
        </w:tc>
      </w:tr>
      <w:tr w:rsidR="002E4C66" w14:paraId="665F9CB8" w14:textId="77777777">
        <w:trPr>
          <w:trHeight w:val="420"/>
        </w:trPr>
        <w:tc>
          <w:tcPr>
            <w:tcW w:w="0" w:type="auto"/>
            <w:vAlign w:val="center"/>
          </w:tcPr>
          <w:p w14:paraId="512B7C08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Hypertension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C4215C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0.50(0.30-0.85)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E492E3B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0.010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87F723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0.65(0.34-1.22)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4D6739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0.181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07DB4E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1.09(0.83-1.43)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190AD92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0.538</w:t>
            </w:r>
          </w:p>
        </w:tc>
      </w:tr>
      <w:tr w:rsidR="002E4C66" w14:paraId="26F66C63" w14:textId="77777777">
        <w:trPr>
          <w:trHeight w:val="420"/>
        </w:trPr>
        <w:tc>
          <w:tcPr>
            <w:tcW w:w="0" w:type="auto"/>
            <w:vAlign w:val="center"/>
          </w:tcPr>
          <w:p w14:paraId="7D0C2125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Dislipidemia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6094A2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0.51(0.28-0.92)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32DEF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0.025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BA1B5CD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0.50(0.24-1.02)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5C8594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0.057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216EB64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0.91(0.70-1.17)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4511DF1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0.463</w:t>
            </w:r>
          </w:p>
        </w:tc>
      </w:tr>
      <w:tr w:rsidR="002E4C66" w14:paraId="4146374B" w14:textId="77777777">
        <w:trPr>
          <w:trHeight w:val="420"/>
        </w:trPr>
        <w:tc>
          <w:tcPr>
            <w:tcW w:w="0" w:type="auto"/>
            <w:vAlign w:val="center"/>
          </w:tcPr>
          <w:p w14:paraId="56A8D087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Diabetes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554BE96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1.20(0.68-2.12)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F20376A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0.525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1FABCD1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1.76(0.92-3.36)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B2A7991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0.086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8668C5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1.24(0.94-1.62)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6E3725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0.124</w:t>
            </w:r>
          </w:p>
        </w:tc>
      </w:tr>
      <w:tr w:rsidR="002E4C66" w14:paraId="6D5983AF" w14:textId="77777777">
        <w:trPr>
          <w:trHeight w:val="420"/>
        </w:trPr>
        <w:tc>
          <w:tcPr>
            <w:tcW w:w="0" w:type="auto"/>
            <w:vAlign w:val="center"/>
          </w:tcPr>
          <w:p w14:paraId="3DC42292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Smoking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86F0B3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1.12(0.51-2.47)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0DFE1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0.778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ED9B2A3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1.17(0.46-3.00)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0A701D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0.739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1FE5AD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0.75(0.48-1.16)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F0AE3F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0.194</w:t>
            </w:r>
          </w:p>
        </w:tc>
      </w:tr>
      <w:tr w:rsidR="002E4C66" w14:paraId="33BAA39E" w14:textId="77777777">
        <w:trPr>
          <w:trHeight w:val="420"/>
        </w:trPr>
        <w:tc>
          <w:tcPr>
            <w:tcW w:w="0" w:type="auto"/>
            <w:vAlign w:val="center"/>
          </w:tcPr>
          <w:p w14:paraId="1E1DBC2C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Cs w:val="21"/>
              </w:rPr>
              <w:t>Previous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MI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C8B78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2.10(1.06-4.15)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035A43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0.034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4E89FE1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2.52(1.16-5.49)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B4A376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0.020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3D55BF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1.28(0.86-1.89)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10F519C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0.222</w:t>
            </w:r>
          </w:p>
        </w:tc>
      </w:tr>
      <w:tr w:rsidR="002E4C66" w14:paraId="1A70F854" w14:textId="77777777">
        <w:trPr>
          <w:trHeight w:val="420"/>
        </w:trPr>
        <w:tc>
          <w:tcPr>
            <w:tcW w:w="0" w:type="auto"/>
            <w:vAlign w:val="center"/>
          </w:tcPr>
          <w:p w14:paraId="1A23A4FD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Cs w:val="21"/>
              </w:rPr>
              <w:t>Previous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PCI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47D476A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0.93(0.40-2.16)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5298E9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0.865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6510676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1.43(0.60-3.41)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D71A626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0.420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FFCC02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1.40(0.99-2.00)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F42382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0.061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</w:tr>
      <w:tr w:rsidR="002E4C66" w14:paraId="7B082A5F" w14:textId="77777777">
        <w:trPr>
          <w:trHeight w:val="420"/>
        </w:trPr>
        <w:tc>
          <w:tcPr>
            <w:tcW w:w="0" w:type="auto"/>
            <w:vAlign w:val="center"/>
          </w:tcPr>
          <w:p w14:paraId="7AF35EEB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Cs w:val="21"/>
              </w:rPr>
              <w:t>Previous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Stroke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8D443F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0.27(0.07-1.11)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7800DDC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0.070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6A09D1F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0.41(0.10-1.70)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AB86CD3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0.218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33CE3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1.17(0.81-1.69)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7A0B1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0.409</w:t>
            </w:r>
          </w:p>
        </w:tc>
      </w:tr>
      <w:tr w:rsidR="002E4C66" w14:paraId="4AA83139" w14:textId="77777777">
        <w:trPr>
          <w:trHeight w:val="420"/>
        </w:trPr>
        <w:tc>
          <w:tcPr>
            <w:tcW w:w="0" w:type="auto"/>
            <w:vAlign w:val="center"/>
          </w:tcPr>
          <w:p w14:paraId="034E877C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Heart rate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B05505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0.99(0.96-1.01)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5BA8AC4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0.349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06A6BFA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0.98(0.95-1.01)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DBD2971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0.156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CEBA2CC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1.00(0.99-1.01)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6D168A4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0.852</w:t>
            </w:r>
          </w:p>
        </w:tc>
      </w:tr>
      <w:tr w:rsidR="002E4C66" w14:paraId="01C7600B" w14:textId="77777777">
        <w:trPr>
          <w:trHeight w:val="420"/>
        </w:trPr>
        <w:tc>
          <w:tcPr>
            <w:tcW w:w="0" w:type="auto"/>
            <w:vAlign w:val="center"/>
          </w:tcPr>
          <w:p w14:paraId="317522C9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SBP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5C45301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1.00(0.98-1.01)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7B1535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0.447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8D6DB64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0.99(0.98-1.01)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5AB5A4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0.453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B4270C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1.00(1.00-1.01)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F4AC07D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0.419</w:t>
            </w:r>
          </w:p>
        </w:tc>
      </w:tr>
      <w:tr w:rsidR="002E4C66" w14:paraId="2678E0D7" w14:textId="77777777">
        <w:trPr>
          <w:trHeight w:val="426"/>
        </w:trPr>
        <w:tc>
          <w:tcPr>
            <w:tcW w:w="0" w:type="auto"/>
            <w:vAlign w:val="center"/>
          </w:tcPr>
          <w:p w14:paraId="58BC374C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eGFR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A24C62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0.98(0.96-0.99)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8591A0D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0.001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D494561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0.97(0.95-0.98)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EF7803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7FE9FFD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0.99(0.98-0.99)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E4C76D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0.001</w:t>
            </w:r>
          </w:p>
        </w:tc>
      </w:tr>
      <w:tr w:rsidR="002E4C66" w14:paraId="01B8CBA5" w14:textId="77777777">
        <w:trPr>
          <w:trHeight w:val="420"/>
        </w:trPr>
        <w:tc>
          <w:tcPr>
            <w:tcW w:w="0" w:type="auto"/>
            <w:vAlign w:val="center"/>
          </w:tcPr>
          <w:p w14:paraId="065668CF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LVEF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BFF725D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0.96(0.94-0.99)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D3373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0.003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EFA4C9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0.96(0.93-1.00)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359104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0.024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D14776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0.98(0.97-1.00)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9AF360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0.009</w:t>
            </w:r>
          </w:p>
        </w:tc>
      </w:tr>
      <w:tr w:rsidR="002E4C66" w14:paraId="6DE2EC45" w14:textId="77777777">
        <w:trPr>
          <w:trHeight w:val="420"/>
        </w:trPr>
        <w:tc>
          <w:tcPr>
            <w:tcW w:w="0" w:type="auto"/>
            <w:vAlign w:val="center"/>
          </w:tcPr>
          <w:p w14:paraId="29691A49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LVEDD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02235D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1.05(0.99-1.10)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B78695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0.113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56E58EB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1.08(1.02-1.15)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5560445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0.010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FEE76D3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1.03(1.00-1.06)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A51597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0.025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</w:tr>
      <w:tr w:rsidR="002E4C66" w14:paraId="3C87135F" w14:textId="77777777">
        <w:trPr>
          <w:trHeight w:val="426"/>
        </w:trPr>
        <w:tc>
          <w:tcPr>
            <w:tcW w:w="0" w:type="auto"/>
            <w:vAlign w:val="center"/>
          </w:tcPr>
          <w:p w14:paraId="358F076E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cTNI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B1CE43F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1.04(1.02-1.06)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6D2432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C126DC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1.05(1.03-1.07)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A0B30E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61040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1.02(1.01-1.04)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6E4A47C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</w:tr>
      <w:tr w:rsidR="002E4C66" w14:paraId="223345A2" w14:textId="77777777">
        <w:trPr>
          <w:trHeight w:val="420"/>
        </w:trPr>
        <w:tc>
          <w:tcPr>
            <w:tcW w:w="0" w:type="auto"/>
            <w:vAlign w:val="center"/>
          </w:tcPr>
          <w:p w14:paraId="24FEF3C3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CK-MB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3DA47EB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1.00(1.00-1.01)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805F88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1C646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1.00(1.00-1.01)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444ABF1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85254D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1.00(1.00-1.00)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F4D244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</w:tr>
      <w:tr w:rsidR="002E4C66" w14:paraId="770AFFF6" w14:textId="77777777">
        <w:trPr>
          <w:trHeight w:val="420"/>
        </w:trPr>
        <w:tc>
          <w:tcPr>
            <w:tcW w:w="0" w:type="auto"/>
            <w:vAlign w:val="center"/>
          </w:tcPr>
          <w:p w14:paraId="240323E8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Creatine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853CC5" w14:textId="77777777" w:rsidR="002E4C66" w:rsidRDefault="00000000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1.01(1.00-1.01)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D7921F7" w14:textId="77777777" w:rsidR="002E4C66" w:rsidRDefault="00000000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0.057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B18D6BF" w14:textId="77777777" w:rsidR="002E4C66" w:rsidRDefault="00000000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1.01(1.00-1.01)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2F34B4F" w14:textId="77777777" w:rsidR="002E4C66" w:rsidRDefault="00000000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0.005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9CDB29" w14:textId="77777777" w:rsidR="002E4C66" w:rsidRDefault="00000000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1.01(1.00-1.01)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E9075FC" w14:textId="77777777" w:rsidR="002E4C66" w:rsidRDefault="00000000">
            <w:pPr>
              <w:jc w:val="center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</w:p>
        </w:tc>
      </w:tr>
      <w:tr w:rsidR="002E4C66" w14:paraId="602939AC" w14:textId="77777777">
        <w:trPr>
          <w:trHeight w:val="420"/>
        </w:trPr>
        <w:tc>
          <w:tcPr>
            <w:tcW w:w="0" w:type="auto"/>
            <w:vAlign w:val="center"/>
          </w:tcPr>
          <w:p w14:paraId="7C0A8224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Fasting glucose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2F8FFF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1.06(1.02-1.10)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DB3F949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0.004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6F4295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1.08(1.03-1.12)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35A1889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26C016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1.03(1.00-1.06)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47ED11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0.040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</w:tr>
      <w:tr w:rsidR="002E4C66" w14:paraId="0A1F92D7" w14:textId="77777777">
        <w:trPr>
          <w:trHeight w:val="420"/>
        </w:trPr>
        <w:tc>
          <w:tcPr>
            <w:tcW w:w="0" w:type="auto"/>
            <w:vAlign w:val="center"/>
          </w:tcPr>
          <w:p w14:paraId="28966A28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TC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D733EE0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0.88(0.68-1.14)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93FCFA6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0.339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0DD69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0.86(0.62-1.18)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DEE3D0B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0.352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7A88ED7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0.98(0.86-1.10)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87C784A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0.685</w:t>
            </w:r>
          </w:p>
        </w:tc>
      </w:tr>
      <w:tr w:rsidR="002E4C66" w14:paraId="2F8A077B" w14:textId="77777777">
        <w:trPr>
          <w:trHeight w:val="426"/>
        </w:trPr>
        <w:tc>
          <w:tcPr>
            <w:tcW w:w="0" w:type="auto"/>
            <w:vAlign w:val="center"/>
          </w:tcPr>
          <w:p w14:paraId="7851016B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Hemoglobin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6B0525E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0.99(0.97-1.00)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54BA96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0.106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E86EF8C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0.98(0.96-1.00)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9A0ACA4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0.015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40C072A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1.00(0.99-1.01)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C7BAC32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0.810</w:t>
            </w:r>
          </w:p>
        </w:tc>
      </w:tr>
      <w:tr w:rsidR="002E4C66" w14:paraId="695EFA01" w14:textId="77777777">
        <w:trPr>
          <w:trHeight w:val="426"/>
        </w:trPr>
        <w:tc>
          <w:tcPr>
            <w:tcW w:w="0" w:type="auto"/>
            <w:vAlign w:val="center"/>
          </w:tcPr>
          <w:p w14:paraId="5D4DC356" w14:textId="77777777" w:rsidR="002E4C66" w:rsidRDefault="00000000">
            <w:pPr>
              <w:ind w:leftChars="100" w:left="21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rSS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-II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4BA94A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1.08(1.04-1.12)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0AA36B3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D01616B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1.08(1.04-1.13)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9033165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&lt;0.001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A8ABC45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1.02(1.00-1.04)</w:t>
            </w: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7656EF8" w14:textId="77777777" w:rsidR="002E4C66" w:rsidRDefault="000000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</w:rPr>
              <w:t>0.019</w:t>
            </w:r>
            <w:r>
              <w:rPr>
                <w:rFonts w:ascii="Times New Roman" w:eastAsia="等线" w:hAnsi="Times New Roman" w:cs="Times New Roman"/>
                <w:color w:val="000000"/>
                <w:sz w:val="20"/>
                <w:szCs w:val="20"/>
                <w:vertAlign w:val="superscript"/>
              </w:rPr>
              <w:t>*</w:t>
            </w:r>
          </w:p>
        </w:tc>
      </w:tr>
      <w:tr w:rsidR="002E4C66" w14:paraId="4283A66B" w14:textId="77777777">
        <w:trPr>
          <w:trHeight w:val="426"/>
        </w:trPr>
        <w:tc>
          <w:tcPr>
            <w:tcW w:w="8789" w:type="dxa"/>
            <w:gridSpan w:val="7"/>
            <w:tcBorders>
              <w:bottom w:val="single" w:sz="4" w:space="0" w:color="auto"/>
            </w:tcBorders>
            <w:vAlign w:val="center"/>
          </w:tcPr>
          <w:p w14:paraId="7BA9F75D" w14:textId="77777777" w:rsidR="002E4C66" w:rsidRDefault="0000000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rSS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-II indicates residual SYNTAX (Synergy Between Percutaneous Coronary Intervention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With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Taxus and Cardiac Surgery) score II; BMI, body mass index; PCI, percutaneous coronary intervention; SBP, Systolic blood pressure; STEMI, ST elevation myocardial infarction; eGFR, estimated glomerular filtration rate; LVEF, left ventricular ejection fraction; LVEDD, left ventricular end-diastolic diameter; TC, total cholesterol; MACCE, major adverse cardiovascular and cerebrovascular events.</w:t>
            </w:r>
          </w:p>
        </w:tc>
      </w:tr>
      <w:bookmarkEnd w:id="1"/>
    </w:tbl>
    <w:p w14:paraId="4F94259F" w14:textId="77777777" w:rsidR="002E4C66" w:rsidRDefault="002E4C66">
      <w:pPr>
        <w:rPr>
          <w:rFonts w:hint="eastAsia"/>
        </w:rPr>
      </w:pPr>
    </w:p>
    <w:p w14:paraId="01741AEF" w14:textId="77777777" w:rsidR="002E4C66" w:rsidRDefault="002E4C66">
      <w:pPr>
        <w:rPr>
          <w:rFonts w:hint="eastAsia"/>
        </w:rPr>
        <w:sectPr w:rsidR="002E4C66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5E39F1F4" w14:textId="77777777" w:rsidR="002E4C66" w:rsidRDefault="00000000">
      <w:pPr>
        <w:pStyle w:val="a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bookmarkStart w:id="2" w:name="_Hlk114944705"/>
      <w:bookmarkStart w:id="3" w:name="Table2"/>
      <w:r>
        <w:rPr>
          <w:rFonts w:ascii="Times New Roman" w:hAnsi="Times New Roman" w:cs="Times New Roman"/>
          <w:sz w:val="24"/>
          <w:szCs w:val="24"/>
        </w:rPr>
        <w:lastRenderedPageBreak/>
        <w:t xml:space="preserve">Table </w:t>
      </w:r>
      <w:r>
        <w:rPr>
          <w:rFonts w:ascii="Times New Roman" w:hAnsi="Times New Roman" w:cs="Times New Roman" w:hint="eastAsia"/>
          <w:sz w:val="24"/>
          <w:szCs w:val="24"/>
        </w:rPr>
        <w:t>S2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bookmarkStart w:id="4" w:name="_Ref131089712"/>
      <w:r>
        <w:rPr>
          <w:rFonts w:ascii="Times New Roman" w:hAnsi="Times New Roman" w:cs="Times New Roman"/>
          <w:sz w:val="24"/>
          <w:szCs w:val="24"/>
        </w:rPr>
        <w:t>Greenwood-Nam-D'Agostino fit test</w:t>
      </w:r>
      <w:bookmarkStart w:id="5" w:name="_Ref114949343"/>
      <w:bookmarkEnd w:id="2"/>
      <w:bookmarkEnd w:id="4"/>
    </w:p>
    <w:tbl>
      <w:tblPr>
        <w:tblStyle w:val="a8"/>
        <w:tblpPr w:leftFromText="180" w:rightFromText="180" w:vertAnchor="text" w:horzAnchor="margin" w:tblpY="274"/>
        <w:tblW w:w="5000" w:type="pct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984"/>
        <w:gridCol w:w="1185"/>
        <w:gridCol w:w="925"/>
        <w:gridCol w:w="1184"/>
        <w:gridCol w:w="924"/>
        <w:gridCol w:w="1184"/>
        <w:gridCol w:w="920"/>
      </w:tblGrid>
      <w:tr w:rsidR="002E4C66" w14:paraId="30AC4CBE" w14:textId="77777777">
        <w:tc>
          <w:tcPr>
            <w:tcW w:w="1194" w:type="pct"/>
            <w:vMerge w:val="restar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70040125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bookmarkStart w:id="6" w:name="_Ref118731000"/>
            <w:bookmarkEnd w:id="5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Clinical Outcomes</w:t>
            </w:r>
          </w:p>
        </w:tc>
        <w:tc>
          <w:tcPr>
            <w:tcW w:w="1270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1" w:themeFillTint="66"/>
            <w:vAlign w:val="center"/>
          </w:tcPr>
          <w:p w14:paraId="64ACD622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rSS</w:t>
            </w:r>
            <w:proofErr w:type="spellEnd"/>
          </w:p>
        </w:tc>
        <w:tc>
          <w:tcPr>
            <w:tcW w:w="1269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1" w:themeFillTint="66"/>
            <w:vAlign w:val="center"/>
          </w:tcPr>
          <w:p w14:paraId="559FD38E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rSS</w:t>
            </w:r>
            <w:proofErr w:type="spellEnd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-II</w:t>
            </w:r>
          </w:p>
        </w:tc>
        <w:tc>
          <w:tcPr>
            <w:tcW w:w="1267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B4C6E7" w:themeFill="accent1" w:themeFillTint="66"/>
            <w:vAlign w:val="center"/>
          </w:tcPr>
          <w:p w14:paraId="6F83DC6E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SS-II</w:t>
            </w:r>
          </w:p>
        </w:tc>
      </w:tr>
      <w:tr w:rsidR="002E4C66" w14:paraId="4534D9C2" w14:textId="77777777">
        <w:tc>
          <w:tcPr>
            <w:tcW w:w="1194" w:type="pct"/>
            <w:vMerge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D08D456" w14:textId="77777777" w:rsidR="002E4C66" w:rsidRDefault="002E4C66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</w:p>
        </w:tc>
        <w:tc>
          <w:tcPr>
            <w:tcW w:w="7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6C6D3BD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sym w:font="Symbol" w:char="F063"/>
            </w:r>
            <w:r>
              <w:rPr>
                <w:rFonts w:ascii="Times New Roman" w:hAnsi="Times New Roman" w:cs="Times New Roman"/>
                <w:kern w:val="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55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4B5D41A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P value</w:t>
            </w:r>
          </w:p>
        </w:tc>
        <w:tc>
          <w:tcPr>
            <w:tcW w:w="7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96A623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sym w:font="Symbol" w:char="F063"/>
            </w:r>
            <w:r>
              <w:rPr>
                <w:rFonts w:ascii="Times New Roman" w:hAnsi="Times New Roman" w:cs="Times New Roman"/>
                <w:kern w:val="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556" w:type="pct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14:paraId="04706B81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P value</w:t>
            </w:r>
          </w:p>
        </w:tc>
        <w:tc>
          <w:tcPr>
            <w:tcW w:w="7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7D8DEB8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sym w:font="Symbol" w:char="F063"/>
            </w:r>
            <w:r>
              <w:rPr>
                <w:rFonts w:ascii="Times New Roman" w:hAnsi="Times New Roman" w:cs="Times New Roman"/>
                <w:kern w:val="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55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5E53527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P value</w:t>
            </w:r>
          </w:p>
        </w:tc>
      </w:tr>
      <w:tr w:rsidR="002E4C66" w14:paraId="4F699E2F" w14:textId="77777777">
        <w:tc>
          <w:tcPr>
            <w:tcW w:w="1194" w:type="pc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792B0FC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All-cause Death</w:t>
            </w:r>
          </w:p>
        </w:tc>
        <w:tc>
          <w:tcPr>
            <w:tcW w:w="713" w:type="pc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719C6E4A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3.60</w:t>
            </w:r>
          </w:p>
        </w:tc>
        <w:tc>
          <w:tcPr>
            <w:tcW w:w="557" w:type="pc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93FF64F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0.463</w:t>
            </w:r>
          </w:p>
        </w:tc>
        <w:tc>
          <w:tcPr>
            <w:tcW w:w="713" w:type="pc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45D8FE0E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3.95</w:t>
            </w:r>
          </w:p>
        </w:tc>
        <w:tc>
          <w:tcPr>
            <w:tcW w:w="556" w:type="pc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30973242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0.557</w:t>
            </w:r>
          </w:p>
        </w:tc>
        <w:tc>
          <w:tcPr>
            <w:tcW w:w="713" w:type="pc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336FD948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4.01</w:t>
            </w:r>
          </w:p>
        </w:tc>
        <w:tc>
          <w:tcPr>
            <w:tcW w:w="554" w:type="pct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64EF67AF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0.548</w:t>
            </w:r>
          </w:p>
        </w:tc>
      </w:tr>
      <w:tr w:rsidR="002E4C66" w14:paraId="080F9F93" w14:textId="77777777">
        <w:tc>
          <w:tcPr>
            <w:tcW w:w="1194" w:type="pct"/>
            <w:shd w:val="clear" w:color="auto" w:fill="FFFFFF" w:themeFill="background1"/>
            <w:vAlign w:val="center"/>
          </w:tcPr>
          <w:p w14:paraId="21E64359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Cardiac Death</w:t>
            </w:r>
          </w:p>
        </w:tc>
        <w:tc>
          <w:tcPr>
            <w:tcW w:w="713" w:type="pct"/>
            <w:shd w:val="clear" w:color="auto" w:fill="FFFFFF" w:themeFill="background1"/>
            <w:vAlign w:val="center"/>
          </w:tcPr>
          <w:p w14:paraId="19B271BF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0.47</w:t>
            </w:r>
          </w:p>
        </w:tc>
        <w:tc>
          <w:tcPr>
            <w:tcW w:w="557" w:type="pct"/>
            <w:shd w:val="clear" w:color="auto" w:fill="FFFFFF" w:themeFill="background1"/>
            <w:vAlign w:val="center"/>
          </w:tcPr>
          <w:p w14:paraId="6DC259A4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0.491</w:t>
            </w:r>
          </w:p>
        </w:tc>
        <w:tc>
          <w:tcPr>
            <w:tcW w:w="713" w:type="pct"/>
            <w:shd w:val="clear" w:color="auto" w:fill="FFFFFF" w:themeFill="background1"/>
            <w:vAlign w:val="center"/>
          </w:tcPr>
          <w:p w14:paraId="53F5DDB1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2.60</w:t>
            </w:r>
          </w:p>
        </w:tc>
        <w:tc>
          <w:tcPr>
            <w:tcW w:w="556" w:type="pct"/>
            <w:shd w:val="clear" w:color="auto" w:fill="FFFFFF" w:themeFill="background1"/>
            <w:vAlign w:val="center"/>
          </w:tcPr>
          <w:p w14:paraId="1A46A58C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0.761</w:t>
            </w:r>
          </w:p>
        </w:tc>
        <w:tc>
          <w:tcPr>
            <w:tcW w:w="713" w:type="pct"/>
            <w:shd w:val="clear" w:color="auto" w:fill="FFFFFF" w:themeFill="background1"/>
            <w:vAlign w:val="center"/>
          </w:tcPr>
          <w:p w14:paraId="2349A1F6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4.32</w:t>
            </w:r>
          </w:p>
        </w:tc>
        <w:tc>
          <w:tcPr>
            <w:tcW w:w="554" w:type="pct"/>
            <w:shd w:val="clear" w:color="auto" w:fill="FFFFFF" w:themeFill="background1"/>
            <w:vAlign w:val="center"/>
          </w:tcPr>
          <w:p w14:paraId="5AD71363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0.634</w:t>
            </w:r>
          </w:p>
        </w:tc>
      </w:tr>
      <w:tr w:rsidR="002E4C66" w14:paraId="29297254" w14:textId="77777777">
        <w:tc>
          <w:tcPr>
            <w:tcW w:w="1194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5A697F60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MACCE</w:t>
            </w:r>
          </w:p>
        </w:tc>
        <w:tc>
          <w:tcPr>
            <w:tcW w:w="713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C486FD3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5.84</w:t>
            </w:r>
          </w:p>
        </w:tc>
        <w:tc>
          <w:tcPr>
            <w:tcW w:w="557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1F6C559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0.558</w:t>
            </w:r>
          </w:p>
        </w:tc>
        <w:tc>
          <w:tcPr>
            <w:tcW w:w="713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2FDBD0E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3.39</w:t>
            </w:r>
          </w:p>
        </w:tc>
        <w:tc>
          <w:tcPr>
            <w:tcW w:w="556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B4A6DC5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0.758</w:t>
            </w:r>
          </w:p>
        </w:tc>
        <w:tc>
          <w:tcPr>
            <w:tcW w:w="713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161F46F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2.66</w:t>
            </w:r>
          </w:p>
        </w:tc>
        <w:tc>
          <w:tcPr>
            <w:tcW w:w="554" w:type="pct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05EB2650" w14:textId="77777777" w:rsidR="002E4C66" w:rsidRDefault="00000000">
            <w:pPr>
              <w:spacing w:line="360" w:lineRule="auto"/>
              <w:jc w:val="center"/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0.850</w:t>
            </w:r>
          </w:p>
        </w:tc>
      </w:tr>
      <w:tr w:rsidR="002E4C66" w14:paraId="2DF55D0C" w14:textId="77777777">
        <w:tc>
          <w:tcPr>
            <w:tcW w:w="5000" w:type="pct"/>
            <w:gridSpan w:val="7"/>
            <w:tcBorders>
              <w:top w:val="single" w:sz="4" w:space="0" w:color="auto"/>
              <w:bottom w:val="nil"/>
            </w:tcBorders>
            <w:shd w:val="clear" w:color="auto" w:fill="FFFFFF" w:themeFill="background1"/>
            <w:vAlign w:val="center"/>
          </w:tcPr>
          <w:p w14:paraId="3613BAE3" w14:textId="77777777" w:rsidR="002E4C66" w:rsidRDefault="00000000">
            <w:pPr>
              <w:rPr>
                <w:rFonts w:ascii="Times New Roman" w:hAnsi="Times New Roman" w:cs="Times New Roman"/>
                <w:kern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 xml:space="preserve">MACCE indicates major adverse cardiovascular and cerebrovascular events; </w:t>
            </w:r>
            <w:proofErr w:type="spellStart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rSS</w:t>
            </w:r>
            <w:proofErr w:type="spellEnd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 xml:space="preserve"> indicates residual SYNTAX score; </w:t>
            </w:r>
            <w:proofErr w:type="spellStart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rSS</w:t>
            </w:r>
            <w:proofErr w:type="spellEnd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 xml:space="preserve">-II; residual SYNTAX score II; SS-II, SYNTAX score II; SYNTAX, Synergy Between Percutaneous Coronary Intervention </w:t>
            </w:r>
            <w:proofErr w:type="gramStart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With</w:t>
            </w:r>
            <w:proofErr w:type="gramEnd"/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 xml:space="preserve"> Taxus and Cardiac Surgery.</w:t>
            </w:r>
          </w:p>
        </w:tc>
      </w:tr>
      <w:bookmarkEnd w:id="6"/>
    </w:tbl>
    <w:p w14:paraId="38FF733F" w14:textId="77777777" w:rsidR="002E4C66" w:rsidRDefault="002E4C66">
      <w:pPr>
        <w:pStyle w:val="a3"/>
        <w:jc w:val="center"/>
        <w:rPr>
          <w:rFonts w:ascii="Times New Roman" w:hAnsi="Times New Roman" w:cs="Times New Roman"/>
          <w:sz w:val="24"/>
          <w:szCs w:val="24"/>
        </w:rPr>
        <w:sectPr w:rsidR="002E4C6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AF50237" w14:textId="77777777" w:rsidR="002E4C66" w:rsidRDefault="0000000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Table </w:t>
      </w:r>
      <w:r>
        <w:rPr>
          <w:rFonts w:ascii="Times New Roman" w:hAnsi="Times New Roman" w:cs="Times New Roman" w:hint="eastAsia"/>
          <w:sz w:val="24"/>
          <w:szCs w:val="24"/>
        </w:rPr>
        <w:t>S</w:t>
      </w:r>
      <w:bookmarkEnd w:id="3"/>
      <w:r>
        <w:rPr>
          <w:rFonts w:ascii="Times New Roman" w:hAnsi="Times New Roman" w:cs="Times New Roman" w:hint="eastAsia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Calibration metrics between different prediction methods for clinical outcomes</w:t>
      </w:r>
    </w:p>
    <w:tbl>
      <w:tblPr>
        <w:tblStyle w:val="a8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73"/>
        <w:gridCol w:w="1995"/>
        <w:gridCol w:w="1975"/>
        <w:gridCol w:w="1885"/>
      </w:tblGrid>
      <w:tr w:rsidR="002E4C66" w14:paraId="26FDDC92" w14:textId="77777777">
        <w:trPr>
          <w:trHeight w:val="413"/>
        </w:trPr>
        <w:tc>
          <w:tcPr>
            <w:tcW w:w="21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62D903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bookmarkStart w:id="7" w:name="_Hlk114950407"/>
            <w:r>
              <w:rPr>
                <w:rFonts w:ascii="Times New Roman" w:hAnsi="Times New Roman" w:cs="Times New Roman"/>
                <w:szCs w:val="21"/>
              </w:rPr>
              <w:t>Calibration Metrics</w:t>
            </w:r>
          </w:p>
        </w:tc>
        <w:tc>
          <w:tcPr>
            <w:tcW w:w="19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F2C2A8C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/>
                <w:szCs w:val="21"/>
              </w:rPr>
              <w:t>rSS</w:t>
            </w:r>
            <w:proofErr w:type="spellEnd"/>
          </w:p>
        </w:tc>
        <w:tc>
          <w:tcPr>
            <w:tcW w:w="19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690A43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proofErr w:type="spellStart"/>
            <w:r>
              <w:rPr>
                <w:rFonts w:ascii="Times New Roman" w:hAnsi="Times New Roman" w:cs="Times New Roman"/>
                <w:szCs w:val="21"/>
              </w:rPr>
              <w:t>rSS</w:t>
            </w:r>
            <w:proofErr w:type="spellEnd"/>
            <w:r>
              <w:rPr>
                <w:rFonts w:ascii="Times New Roman" w:hAnsi="Times New Roman" w:cs="Times New Roman"/>
                <w:szCs w:val="21"/>
              </w:rPr>
              <w:t>-II</w:t>
            </w:r>
          </w:p>
        </w:tc>
        <w:tc>
          <w:tcPr>
            <w:tcW w:w="18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BB782C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SS-II</w:t>
            </w:r>
          </w:p>
        </w:tc>
      </w:tr>
      <w:tr w:rsidR="002E4C66" w14:paraId="45D63495" w14:textId="77777777">
        <w:trPr>
          <w:trHeight w:val="413"/>
        </w:trPr>
        <w:tc>
          <w:tcPr>
            <w:tcW w:w="8028" w:type="dxa"/>
            <w:gridSpan w:val="4"/>
            <w:tcBorders>
              <w:top w:val="single" w:sz="4" w:space="0" w:color="auto"/>
            </w:tcBorders>
            <w:shd w:val="clear" w:color="auto" w:fill="B4C6E7" w:themeFill="accent1" w:themeFillTint="66"/>
            <w:vAlign w:val="center"/>
          </w:tcPr>
          <w:p w14:paraId="7403836F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All-cause Death</w:t>
            </w:r>
          </w:p>
        </w:tc>
      </w:tr>
      <w:tr w:rsidR="002E4C66" w14:paraId="13F6D267" w14:textId="77777777">
        <w:trPr>
          <w:trHeight w:val="413"/>
        </w:trPr>
        <w:tc>
          <w:tcPr>
            <w:tcW w:w="2173" w:type="dxa"/>
            <w:vAlign w:val="center"/>
          </w:tcPr>
          <w:p w14:paraId="45AC0A53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ICI</w:t>
            </w:r>
          </w:p>
        </w:tc>
        <w:tc>
          <w:tcPr>
            <w:tcW w:w="1995" w:type="dxa"/>
            <w:vAlign w:val="center"/>
          </w:tcPr>
          <w:p w14:paraId="7414F5F4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0.015</w:t>
            </w:r>
          </w:p>
        </w:tc>
        <w:tc>
          <w:tcPr>
            <w:tcW w:w="1975" w:type="dxa"/>
            <w:vAlign w:val="center"/>
          </w:tcPr>
          <w:p w14:paraId="632C8FBE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0.010</w:t>
            </w:r>
          </w:p>
        </w:tc>
        <w:tc>
          <w:tcPr>
            <w:tcW w:w="1883" w:type="dxa"/>
            <w:vAlign w:val="center"/>
          </w:tcPr>
          <w:p w14:paraId="3F9360D6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0.014</w:t>
            </w:r>
          </w:p>
        </w:tc>
      </w:tr>
      <w:tr w:rsidR="002E4C66" w14:paraId="06F7A296" w14:textId="77777777">
        <w:trPr>
          <w:trHeight w:val="413"/>
        </w:trPr>
        <w:tc>
          <w:tcPr>
            <w:tcW w:w="2173" w:type="dxa"/>
            <w:vAlign w:val="center"/>
          </w:tcPr>
          <w:p w14:paraId="7EF27907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E50</w:t>
            </w:r>
          </w:p>
        </w:tc>
        <w:tc>
          <w:tcPr>
            <w:tcW w:w="1995" w:type="dxa"/>
            <w:vAlign w:val="center"/>
          </w:tcPr>
          <w:p w14:paraId="371A09EA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0.014</w:t>
            </w:r>
          </w:p>
        </w:tc>
        <w:tc>
          <w:tcPr>
            <w:tcW w:w="1975" w:type="dxa"/>
            <w:vAlign w:val="center"/>
          </w:tcPr>
          <w:p w14:paraId="7CFB1FF5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0.004</w:t>
            </w:r>
          </w:p>
        </w:tc>
        <w:tc>
          <w:tcPr>
            <w:tcW w:w="1883" w:type="dxa"/>
            <w:vAlign w:val="center"/>
          </w:tcPr>
          <w:p w14:paraId="490604EC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0.007</w:t>
            </w:r>
          </w:p>
        </w:tc>
      </w:tr>
      <w:tr w:rsidR="002E4C66" w14:paraId="33A06353" w14:textId="77777777">
        <w:trPr>
          <w:trHeight w:val="413"/>
        </w:trPr>
        <w:tc>
          <w:tcPr>
            <w:tcW w:w="2173" w:type="dxa"/>
            <w:vAlign w:val="center"/>
          </w:tcPr>
          <w:p w14:paraId="65250797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E90</w:t>
            </w:r>
          </w:p>
        </w:tc>
        <w:tc>
          <w:tcPr>
            <w:tcW w:w="1995" w:type="dxa"/>
            <w:vAlign w:val="center"/>
          </w:tcPr>
          <w:p w14:paraId="58A12769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0.024</w:t>
            </w:r>
          </w:p>
        </w:tc>
        <w:tc>
          <w:tcPr>
            <w:tcW w:w="1975" w:type="dxa"/>
            <w:vAlign w:val="center"/>
          </w:tcPr>
          <w:p w14:paraId="3971D524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0.023</w:t>
            </w:r>
          </w:p>
        </w:tc>
        <w:tc>
          <w:tcPr>
            <w:tcW w:w="1883" w:type="dxa"/>
            <w:vAlign w:val="center"/>
          </w:tcPr>
          <w:p w14:paraId="5F0A926E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0.027</w:t>
            </w:r>
          </w:p>
        </w:tc>
      </w:tr>
      <w:tr w:rsidR="002E4C66" w14:paraId="7F5A8EB0" w14:textId="77777777">
        <w:trPr>
          <w:trHeight w:val="413"/>
        </w:trPr>
        <w:tc>
          <w:tcPr>
            <w:tcW w:w="8028" w:type="dxa"/>
            <w:gridSpan w:val="4"/>
            <w:shd w:val="clear" w:color="auto" w:fill="B4C6E7" w:themeFill="accent1" w:themeFillTint="66"/>
            <w:vAlign w:val="center"/>
          </w:tcPr>
          <w:p w14:paraId="2B0F2711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Cardiac Death</w:t>
            </w:r>
          </w:p>
        </w:tc>
      </w:tr>
      <w:tr w:rsidR="002E4C66" w14:paraId="1A555BD0" w14:textId="77777777">
        <w:trPr>
          <w:trHeight w:val="413"/>
        </w:trPr>
        <w:tc>
          <w:tcPr>
            <w:tcW w:w="2173" w:type="dxa"/>
            <w:vAlign w:val="center"/>
          </w:tcPr>
          <w:p w14:paraId="5020FC22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ICI</w:t>
            </w:r>
          </w:p>
        </w:tc>
        <w:tc>
          <w:tcPr>
            <w:tcW w:w="1995" w:type="dxa"/>
            <w:vAlign w:val="center"/>
          </w:tcPr>
          <w:p w14:paraId="1C758A7B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0.011</w:t>
            </w:r>
          </w:p>
        </w:tc>
        <w:tc>
          <w:tcPr>
            <w:tcW w:w="1975" w:type="dxa"/>
            <w:vAlign w:val="center"/>
          </w:tcPr>
          <w:p w14:paraId="644E5A43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0.009</w:t>
            </w:r>
          </w:p>
        </w:tc>
        <w:tc>
          <w:tcPr>
            <w:tcW w:w="1883" w:type="dxa"/>
            <w:vAlign w:val="center"/>
          </w:tcPr>
          <w:p w14:paraId="2CE9A46B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0.012</w:t>
            </w:r>
          </w:p>
        </w:tc>
      </w:tr>
      <w:tr w:rsidR="002E4C66" w14:paraId="5FF4B015" w14:textId="77777777">
        <w:trPr>
          <w:trHeight w:val="413"/>
        </w:trPr>
        <w:tc>
          <w:tcPr>
            <w:tcW w:w="2173" w:type="dxa"/>
            <w:vAlign w:val="center"/>
          </w:tcPr>
          <w:p w14:paraId="57B00437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E50</w:t>
            </w:r>
          </w:p>
        </w:tc>
        <w:tc>
          <w:tcPr>
            <w:tcW w:w="1995" w:type="dxa"/>
            <w:vAlign w:val="center"/>
          </w:tcPr>
          <w:p w14:paraId="169EA107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0.011</w:t>
            </w:r>
          </w:p>
        </w:tc>
        <w:tc>
          <w:tcPr>
            <w:tcW w:w="1975" w:type="dxa"/>
            <w:vAlign w:val="center"/>
          </w:tcPr>
          <w:p w14:paraId="5E94445C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0.003</w:t>
            </w:r>
          </w:p>
        </w:tc>
        <w:tc>
          <w:tcPr>
            <w:tcW w:w="1883" w:type="dxa"/>
            <w:vAlign w:val="center"/>
          </w:tcPr>
          <w:p w14:paraId="790F6DD0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0.005</w:t>
            </w:r>
          </w:p>
        </w:tc>
      </w:tr>
      <w:tr w:rsidR="002E4C66" w14:paraId="6D0EC3A6" w14:textId="77777777">
        <w:trPr>
          <w:trHeight w:val="413"/>
        </w:trPr>
        <w:tc>
          <w:tcPr>
            <w:tcW w:w="2173" w:type="dxa"/>
            <w:vAlign w:val="center"/>
          </w:tcPr>
          <w:p w14:paraId="491408A5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E90</w:t>
            </w:r>
          </w:p>
        </w:tc>
        <w:tc>
          <w:tcPr>
            <w:tcW w:w="1995" w:type="dxa"/>
            <w:vAlign w:val="center"/>
          </w:tcPr>
          <w:p w14:paraId="209C74D0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0.017</w:t>
            </w:r>
          </w:p>
        </w:tc>
        <w:tc>
          <w:tcPr>
            <w:tcW w:w="1975" w:type="dxa"/>
            <w:vAlign w:val="center"/>
          </w:tcPr>
          <w:p w14:paraId="2D3A255B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0.022</w:t>
            </w:r>
          </w:p>
        </w:tc>
        <w:tc>
          <w:tcPr>
            <w:tcW w:w="1883" w:type="dxa"/>
            <w:vAlign w:val="center"/>
          </w:tcPr>
          <w:p w14:paraId="2AB7ED13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0.028</w:t>
            </w:r>
          </w:p>
        </w:tc>
      </w:tr>
      <w:tr w:rsidR="002E4C66" w14:paraId="15EB1F04" w14:textId="77777777">
        <w:trPr>
          <w:trHeight w:val="413"/>
        </w:trPr>
        <w:tc>
          <w:tcPr>
            <w:tcW w:w="8028" w:type="dxa"/>
            <w:gridSpan w:val="4"/>
            <w:shd w:val="clear" w:color="auto" w:fill="B4C6E7" w:themeFill="accent1" w:themeFillTint="66"/>
            <w:vAlign w:val="center"/>
          </w:tcPr>
          <w:p w14:paraId="6A7497A9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MACCE</w:t>
            </w:r>
          </w:p>
        </w:tc>
      </w:tr>
      <w:tr w:rsidR="002E4C66" w14:paraId="7E7C81FF" w14:textId="77777777">
        <w:trPr>
          <w:trHeight w:val="413"/>
        </w:trPr>
        <w:tc>
          <w:tcPr>
            <w:tcW w:w="2173" w:type="dxa"/>
            <w:vAlign w:val="center"/>
          </w:tcPr>
          <w:p w14:paraId="78119027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ICI</w:t>
            </w:r>
          </w:p>
        </w:tc>
        <w:tc>
          <w:tcPr>
            <w:tcW w:w="1995" w:type="dxa"/>
            <w:vAlign w:val="center"/>
          </w:tcPr>
          <w:p w14:paraId="54D40EBE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0.028</w:t>
            </w:r>
          </w:p>
        </w:tc>
        <w:tc>
          <w:tcPr>
            <w:tcW w:w="1975" w:type="dxa"/>
            <w:vAlign w:val="center"/>
          </w:tcPr>
          <w:p w14:paraId="6646827C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0.035</w:t>
            </w:r>
          </w:p>
        </w:tc>
        <w:tc>
          <w:tcPr>
            <w:tcW w:w="1883" w:type="dxa"/>
            <w:vAlign w:val="center"/>
          </w:tcPr>
          <w:p w14:paraId="3A08CBBA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0.039</w:t>
            </w:r>
          </w:p>
        </w:tc>
      </w:tr>
      <w:tr w:rsidR="002E4C66" w14:paraId="191C9EA5" w14:textId="77777777">
        <w:trPr>
          <w:trHeight w:val="413"/>
        </w:trPr>
        <w:tc>
          <w:tcPr>
            <w:tcW w:w="2173" w:type="dxa"/>
            <w:vAlign w:val="center"/>
          </w:tcPr>
          <w:p w14:paraId="09941544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E50</w:t>
            </w:r>
          </w:p>
        </w:tc>
        <w:tc>
          <w:tcPr>
            <w:tcW w:w="1995" w:type="dxa"/>
            <w:vAlign w:val="center"/>
          </w:tcPr>
          <w:p w14:paraId="11008E79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0.025</w:t>
            </w:r>
          </w:p>
        </w:tc>
        <w:tc>
          <w:tcPr>
            <w:tcW w:w="1975" w:type="dxa"/>
            <w:vAlign w:val="center"/>
          </w:tcPr>
          <w:p w14:paraId="5D667758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0.024</w:t>
            </w:r>
          </w:p>
        </w:tc>
        <w:tc>
          <w:tcPr>
            <w:tcW w:w="1883" w:type="dxa"/>
            <w:vAlign w:val="center"/>
          </w:tcPr>
          <w:p w14:paraId="3EFD5E6F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0.027</w:t>
            </w:r>
          </w:p>
        </w:tc>
      </w:tr>
      <w:tr w:rsidR="002E4C66" w14:paraId="18477912" w14:textId="77777777">
        <w:trPr>
          <w:trHeight w:val="413"/>
        </w:trPr>
        <w:tc>
          <w:tcPr>
            <w:tcW w:w="2173" w:type="dxa"/>
            <w:tcBorders>
              <w:bottom w:val="nil"/>
            </w:tcBorders>
            <w:vAlign w:val="center"/>
          </w:tcPr>
          <w:p w14:paraId="79FEDD01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E90</w:t>
            </w:r>
          </w:p>
        </w:tc>
        <w:tc>
          <w:tcPr>
            <w:tcW w:w="1995" w:type="dxa"/>
            <w:tcBorders>
              <w:bottom w:val="nil"/>
            </w:tcBorders>
            <w:vAlign w:val="center"/>
          </w:tcPr>
          <w:p w14:paraId="417170FD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0.047</w:t>
            </w:r>
          </w:p>
        </w:tc>
        <w:tc>
          <w:tcPr>
            <w:tcW w:w="1975" w:type="dxa"/>
            <w:tcBorders>
              <w:bottom w:val="nil"/>
            </w:tcBorders>
            <w:vAlign w:val="center"/>
          </w:tcPr>
          <w:p w14:paraId="38087D0B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0.072</w:t>
            </w:r>
          </w:p>
        </w:tc>
        <w:tc>
          <w:tcPr>
            <w:tcW w:w="1883" w:type="dxa"/>
            <w:tcBorders>
              <w:bottom w:val="nil"/>
            </w:tcBorders>
            <w:vAlign w:val="center"/>
          </w:tcPr>
          <w:p w14:paraId="38B1CE63" w14:textId="77777777" w:rsidR="002E4C66" w:rsidRDefault="00000000">
            <w:pPr>
              <w:jc w:val="center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0.079</w:t>
            </w:r>
          </w:p>
        </w:tc>
      </w:tr>
      <w:tr w:rsidR="002E4C66" w14:paraId="53B56034" w14:textId="77777777">
        <w:trPr>
          <w:trHeight w:val="413"/>
        </w:trPr>
        <w:tc>
          <w:tcPr>
            <w:tcW w:w="8028" w:type="dxa"/>
            <w:gridSpan w:val="4"/>
            <w:tcBorders>
              <w:top w:val="single" w:sz="4" w:space="0" w:color="auto"/>
              <w:bottom w:val="nil"/>
            </w:tcBorders>
          </w:tcPr>
          <w:p w14:paraId="08FC577F" w14:textId="77777777" w:rsidR="002E4C66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ICI indicates integrated calibration index;</w:t>
            </w: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 xml:space="preserve"> E50, the median of absolute calibration error; E90, the 90th percentile of absolute calibration error;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MACCE, </w:t>
            </w:r>
            <w:r>
              <w:rPr>
                <w:rFonts w:ascii="Times New Roman" w:hAnsi="Times New Roman" w:cs="Times New Roman"/>
                <w:kern w:val="0"/>
                <w:sz w:val="24"/>
                <w:szCs w:val="24"/>
              </w:rPr>
              <w:t>major adverse cardiovascular and cerebrovascular events.</w:t>
            </w:r>
          </w:p>
        </w:tc>
      </w:tr>
      <w:bookmarkEnd w:id="7"/>
    </w:tbl>
    <w:p w14:paraId="70388627" w14:textId="77777777" w:rsidR="002E4C66" w:rsidRDefault="002E4C66">
      <w:pPr>
        <w:rPr>
          <w:rFonts w:hint="eastAsia"/>
        </w:rPr>
      </w:pPr>
    </w:p>
    <w:p w14:paraId="437F6926" w14:textId="77777777" w:rsidR="002E4C66" w:rsidRDefault="002E4C66">
      <w:pPr>
        <w:rPr>
          <w:rFonts w:hint="eastAsia"/>
        </w:rPr>
      </w:pPr>
    </w:p>
    <w:p w14:paraId="09F1AEB3" w14:textId="77777777" w:rsidR="002E4C66" w:rsidRDefault="002E4C66">
      <w:pPr>
        <w:rPr>
          <w:rFonts w:hint="eastAsia"/>
        </w:rPr>
      </w:pPr>
    </w:p>
    <w:p w14:paraId="17C7BEFA" w14:textId="77777777" w:rsidR="002E4C66" w:rsidRDefault="002E4C66">
      <w:pPr>
        <w:rPr>
          <w:rFonts w:hint="eastAsia"/>
        </w:rPr>
        <w:sectPr w:rsidR="002E4C6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64F64E44" w14:textId="77777777" w:rsidR="002E4C66" w:rsidRDefault="00000000">
      <w:pPr>
        <w:rPr>
          <w:rFonts w:hint="eastAsia"/>
        </w:rPr>
      </w:pPr>
      <w:r>
        <w:rPr>
          <w:rFonts w:ascii="Times New Roman" w:hAnsi="Times New Roman" w:cs="Times New Roman"/>
          <w:noProof/>
          <w:sz w:val="15"/>
          <w:szCs w:val="15"/>
        </w:rPr>
        <w:lastRenderedPageBreak/>
        <w:drawing>
          <wp:inline distT="0" distB="0" distL="0" distR="0" wp14:anchorId="3587C8E2" wp14:editId="3532535B">
            <wp:extent cx="5274310" cy="3103245"/>
            <wp:effectExtent l="0" t="0" r="254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5718D" w14:textId="77777777" w:rsidR="002E4C66" w:rsidRDefault="00000000">
      <w:pPr>
        <w:pStyle w:val="a3"/>
        <w:jc w:val="center"/>
        <w:rPr>
          <w:rFonts w:ascii="Times New Roman" w:hAnsi="Times New Roman" w:cs="Times New Roman"/>
          <w:sz w:val="24"/>
          <w:szCs w:val="24"/>
        </w:rPr>
      </w:pPr>
      <w:bookmarkStart w:id="8" w:name="Figure1"/>
      <w:r>
        <w:rPr>
          <w:rFonts w:ascii="Times New Roman" w:hAnsi="Times New Roman" w:cs="Times New Roman"/>
          <w:sz w:val="24"/>
          <w:szCs w:val="24"/>
        </w:rPr>
        <w:t xml:space="preserve">Figure </w:t>
      </w:r>
      <w:r>
        <w:rPr>
          <w:rFonts w:ascii="Times New Roman" w:hAnsi="Times New Roman" w:cs="Times New Roman" w:hint="eastAsia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1 </w:t>
      </w:r>
      <w:bookmarkStart w:id="9" w:name="_Hlk118478013"/>
      <w:bookmarkEnd w:id="8"/>
      <w:r>
        <w:rPr>
          <w:rFonts w:ascii="Times New Roman" w:hAnsi="Times New Roman" w:cs="Times New Roman"/>
          <w:sz w:val="24"/>
          <w:szCs w:val="24"/>
        </w:rPr>
        <w:t>Forest plot for clinical outcomes according to the residual SYNTAX score II (</w:t>
      </w:r>
      <w:proofErr w:type="spellStart"/>
      <w:r>
        <w:rPr>
          <w:rFonts w:ascii="Times New Roman" w:hAnsi="Times New Roman" w:cs="Times New Roman"/>
          <w:sz w:val="24"/>
          <w:szCs w:val="24"/>
        </w:rPr>
        <w:t>rSS</w:t>
      </w:r>
      <w:proofErr w:type="spellEnd"/>
      <w:r>
        <w:rPr>
          <w:rFonts w:ascii="Times New Roman" w:hAnsi="Times New Roman" w:cs="Times New Roman"/>
          <w:sz w:val="24"/>
          <w:szCs w:val="24"/>
        </w:rPr>
        <w:t>-II) tertiles.</w:t>
      </w:r>
      <w:bookmarkEnd w:id="9"/>
    </w:p>
    <w:p w14:paraId="2F8208D0" w14:textId="77777777" w:rsidR="002E4C66" w:rsidRDefault="00000000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MACCE indicates </w:t>
      </w:r>
      <w:r>
        <w:rPr>
          <w:rFonts w:ascii="Times New Roman" w:hAnsi="Times New Roman" w:cs="Times New Roman"/>
          <w:kern w:val="0"/>
          <w:sz w:val="24"/>
          <w:szCs w:val="24"/>
        </w:rPr>
        <w:t>major adverse cardiovascular and cerebrovascular events</w:t>
      </w:r>
      <w:r>
        <w:rPr>
          <w:rFonts w:ascii="Times New Roman" w:hAnsi="Times New Roman" w:cs="Times New Roman"/>
          <w:sz w:val="24"/>
          <w:szCs w:val="24"/>
        </w:rPr>
        <w:t xml:space="preserve">; and SYNTAX, Synergy Between Percutaneous Coronary Intervention </w:t>
      </w:r>
      <w:proofErr w:type="gramStart"/>
      <w:r>
        <w:rPr>
          <w:rFonts w:ascii="Times New Roman" w:hAnsi="Times New Roman" w:cs="Times New Roman"/>
          <w:sz w:val="24"/>
          <w:szCs w:val="24"/>
        </w:rPr>
        <w:t>With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Taxus and Cardiac Surgery.</w:t>
      </w:r>
    </w:p>
    <w:p w14:paraId="2A98DE31" w14:textId="77777777" w:rsidR="002E4C66" w:rsidRDefault="002E4C66">
      <w:pPr>
        <w:rPr>
          <w:rFonts w:hint="eastAsia"/>
        </w:rPr>
        <w:sectPr w:rsidR="002E4C6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4590D458" w14:textId="77777777" w:rsidR="002E4C66" w:rsidRDefault="00000000">
      <w:pPr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6B487F3" wp14:editId="1ABB4206">
            <wp:extent cx="3016250" cy="636348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5433" cy="638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F05F0" w14:textId="77777777" w:rsidR="002E4C66" w:rsidRDefault="00000000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10" w:name="Figure2"/>
      <w:r>
        <w:rPr>
          <w:rFonts w:ascii="Times New Roman" w:hAnsi="Times New Roman" w:cs="Times New Roman"/>
          <w:sz w:val="24"/>
          <w:szCs w:val="24"/>
        </w:rPr>
        <w:t xml:space="preserve">Figure </w:t>
      </w:r>
      <w:r>
        <w:rPr>
          <w:rFonts w:ascii="Times New Roman" w:hAnsi="Times New Roman" w:cs="Times New Roman" w:hint="eastAsia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2</w:t>
      </w:r>
      <w:bookmarkEnd w:id="10"/>
      <w:r>
        <w:rPr>
          <w:rFonts w:ascii="Times New Roman" w:hAnsi="Times New Roman" w:cs="Times New Roman"/>
          <w:sz w:val="24"/>
          <w:szCs w:val="24"/>
        </w:rPr>
        <w:t xml:space="preserve"> Decision curve analysis for </w:t>
      </w:r>
      <w:r>
        <w:rPr>
          <w:rFonts w:ascii="Times New Roman" w:hAnsi="Times New Roman" w:cs="Times New Roman"/>
          <w:kern w:val="0"/>
          <w:sz w:val="24"/>
          <w:szCs w:val="24"/>
        </w:rPr>
        <w:t>residual SYNTAX score (</w:t>
      </w:r>
      <w:proofErr w:type="spellStart"/>
      <w:r>
        <w:rPr>
          <w:rFonts w:ascii="Times New Roman" w:hAnsi="Times New Roman" w:cs="Times New Roman"/>
          <w:sz w:val="24"/>
          <w:szCs w:val="24"/>
        </w:rPr>
        <w:t>rSS</w:t>
      </w:r>
      <w:proofErr w:type="spellEnd"/>
      <w:r>
        <w:rPr>
          <w:rFonts w:ascii="Times New Roman" w:hAnsi="Times New Roman" w:cs="Times New Roman"/>
          <w:sz w:val="24"/>
          <w:szCs w:val="24"/>
        </w:rPr>
        <w:t>),</w:t>
      </w:r>
      <w:r>
        <w:rPr>
          <w:rFonts w:ascii="Times New Roman" w:hAnsi="Times New Roman" w:cs="Times New Roman"/>
          <w:kern w:val="0"/>
          <w:sz w:val="24"/>
          <w:szCs w:val="24"/>
        </w:rPr>
        <w:t xml:space="preserve"> SYNTAX score II </w:t>
      </w:r>
      <w:r>
        <w:rPr>
          <w:rFonts w:ascii="Times New Roman" w:hAnsi="Times New Roman" w:cs="Times New Roman"/>
          <w:sz w:val="24"/>
          <w:szCs w:val="24"/>
        </w:rPr>
        <w:t xml:space="preserve">(SS-II), and </w:t>
      </w:r>
      <w:r>
        <w:rPr>
          <w:rFonts w:ascii="Times New Roman" w:hAnsi="Times New Roman" w:cs="Times New Roman"/>
          <w:kern w:val="0"/>
          <w:sz w:val="24"/>
          <w:szCs w:val="24"/>
        </w:rPr>
        <w:t>residual SYNTAX score II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Fonts w:ascii="Times New Roman" w:hAnsi="Times New Roman" w:cs="Times New Roman"/>
          <w:sz w:val="24"/>
          <w:szCs w:val="24"/>
        </w:rPr>
        <w:t>rSS</w:t>
      </w:r>
      <w:proofErr w:type="spellEnd"/>
      <w:r>
        <w:rPr>
          <w:rFonts w:ascii="Times New Roman" w:hAnsi="Times New Roman" w:cs="Times New Roman"/>
          <w:sz w:val="24"/>
          <w:szCs w:val="24"/>
        </w:rPr>
        <w:t>-II) in predicting (A) all-cause mortality, (B) cardiac mortality, and (C) MACCE.</w:t>
      </w:r>
    </w:p>
    <w:p w14:paraId="0703BD74" w14:textId="77777777" w:rsidR="002E4C66" w:rsidRDefault="00000000">
      <w:pPr>
        <w:rPr>
          <w:rFonts w:hint="eastAsia"/>
        </w:rPr>
      </w:pPr>
      <w:r>
        <w:rPr>
          <w:rFonts w:ascii="Times New Roman" w:hAnsi="Times New Roman" w:cs="Times New Roman"/>
          <w:sz w:val="24"/>
          <w:szCs w:val="24"/>
        </w:rPr>
        <w:t xml:space="preserve">The decision curve analysis graphically shows the clinical usefulness of </w:t>
      </w:r>
      <w:proofErr w:type="spellStart"/>
      <w:r>
        <w:rPr>
          <w:rFonts w:ascii="Times New Roman" w:hAnsi="Times New Roman" w:cs="Times New Roman"/>
          <w:sz w:val="24"/>
          <w:szCs w:val="24"/>
        </w:rPr>
        <w:t>rSS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SS-II, and </w:t>
      </w:r>
      <w:proofErr w:type="spellStart"/>
      <w:r>
        <w:rPr>
          <w:rFonts w:ascii="Times New Roman" w:hAnsi="Times New Roman" w:cs="Times New Roman"/>
          <w:sz w:val="24"/>
          <w:szCs w:val="24"/>
        </w:rPr>
        <w:t>rSS</w:t>
      </w:r>
      <w:proofErr w:type="spellEnd"/>
      <w:r>
        <w:rPr>
          <w:rFonts w:ascii="Times New Roman" w:hAnsi="Times New Roman" w:cs="Times New Roman"/>
          <w:sz w:val="24"/>
          <w:szCs w:val="24"/>
        </w:rPr>
        <w:t>-II based on a continuum of potential thresholds for clinical outcomes risk (x axis) and the net benefit of using different models to risk stratify patients (y axis). Net benefit=true positive rate - (false positive rate × weighting factor), Weighting factor=Threshold probability</w:t>
      </w:r>
      <w:proofErr w:type="gramStart"/>
      <w:r>
        <w:rPr>
          <w:rFonts w:ascii="Times New Roman" w:hAnsi="Times New Roman" w:cs="Times New Roman"/>
          <w:sz w:val="24"/>
          <w:szCs w:val="24"/>
        </w:rPr>
        <w:t>/(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1-threshold probability). MACCE indicates </w:t>
      </w:r>
      <w:r>
        <w:rPr>
          <w:rFonts w:ascii="Times New Roman" w:hAnsi="Times New Roman" w:cs="Times New Roman"/>
          <w:kern w:val="0"/>
          <w:sz w:val="24"/>
          <w:szCs w:val="24"/>
        </w:rPr>
        <w:t>major adverse cardiovascular and cerebrovascular events</w:t>
      </w:r>
      <w:r>
        <w:rPr>
          <w:rFonts w:ascii="Times New Roman" w:hAnsi="Times New Roman" w:cs="Times New Roman"/>
          <w:sz w:val="24"/>
          <w:szCs w:val="24"/>
        </w:rPr>
        <w:t xml:space="preserve">; and SYNTAX, Synergy Between Percutaneous Coronary Intervention </w:t>
      </w:r>
      <w:proofErr w:type="gramStart"/>
      <w:r>
        <w:rPr>
          <w:rFonts w:ascii="Times New Roman" w:hAnsi="Times New Roman" w:cs="Times New Roman"/>
          <w:sz w:val="24"/>
          <w:szCs w:val="24"/>
        </w:rPr>
        <w:t>With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Taxus and Cardiac Surgery.</w:t>
      </w:r>
    </w:p>
    <w:sectPr w:rsidR="002E4C6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21A5CD" w14:textId="77777777" w:rsidR="00EA30F3" w:rsidRDefault="00EA30F3" w:rsidP="006B0BB6">
      <w:pPr>
        <w:rPr>
          <w:rFonts w:hint="eastAsia"/>
        </w:rPr>
      </w:pPr>
      <w:r>
        <w:separator/>
      </w:r>
    </w:p>
  </w:endnote>
  <w:endnote w:type="continuationSeparator" w:id="0">
    <w:p w14:paraId="3C24E21D" w14:textId="77777777" w:rsidR="00EA30F3" w:rsidRDefault="00EA30F3" w:rsidP="006B0BB6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316C741" w14:textId="77777777" w:rsidR="00EA30F3" w:rsidRDefault="00EA30F3" w:rsidP="006B0BB6">
      <w:pPr>
        <w:rPr>
          <w:rFonts w:hint="eastAsia"/>
        </w:rPr>
      </w:pPr>
      <w:r>
        <w:separator/>
      </w:r>
    </w:p>
  </w:footnote>
  <w:footnote w:type="continuationSeparator" w:id="0">
    <w:p w14:paraId="21A7638B" w14:textId="77777777" w:rsidR="00EA30F3" w:rsidRDefault="00EA30F3" w:rsidP="006B0BB6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2Q2YTUzOGUxYTQ2ZmY1ZWQ4ZjkwMDYxMzYzODNhMTcifQ=="/>
  </w:docVars>
  <w:rsids>
    <w:rsidRoot w:val="007A07A9"/>
    <w:rsid w:val="000024CC"/>
    <w:rsid w:val="0006623A"/>
    <w:rsid w:val="000B392D"/>
    <w:rsid w:val="000D2321"/>
    <w:rsid w:val="000F6162"/>
    <w:rsid w:val="00174031"/>
    <w:rsid w:val="001F20E8"/>
    <w:rsid w:val="002270A4"/>
    <w:rsid w:val="002B6E57"/>
    <w:rsid w:val="002E3D98"/>
    <w:rsid w:val="002E4C66"/>
    <w:rsid w:val="00324F05"/>
    <w:rsid w:val="00350BD0"/>
    <w:rsid w:val="0035370B"/>
    <w:rsid w:val="003624E2"/>
    <w:rsid w:val="003634DA"/>
    <w:rsid w:val="003A2EC2"/>
    <w:rsid w:val="003B132A"/>
    <w:rsid w:val="00406A5D"/>
    <w:rsid w:val="00477840"/>
    <w:rsid w:val="004A075F"/>
    <w:rsid w:val="004A172A"/>
    <w:rsid w:val="004B2A99"/>
    <w:rsid w:val="004E2572"/>
    <w:rsid w:val="00511E03"/>
    <w:rsid w:val="005864D8"/>
    <w:rsid w:val="005C5354"/>
    <w:rsid w:val="00643C30"/>
    <w:rsid w:val="006704DC"/>
    <w:rsid w:val="00686EA3"/>
    <w:rsid w:val="006B0BB6"/>
    <w:rsid w:val="006F3F22"/>
    <w:rsid w:val="00791402"/>
    <w:rsid w:val="007A07A9"/>
    <w:rsid w:val="007A7DB6"/>
    <w:rsid w:val="007D2017"/>
    <w:rsid w:val="00830BD6"/>
    <w:rsid w:val="008334CD"/>
    <w:rsid w:val="0087457E"/>
    <w:rsid w:val="0091749E"/>
    <w:rsid w:val="00946A2D"/>
    <w:rsid w:val="009D124F"/>
    <w:rsid w:val="00A00BBD"/>
    <w:rsid w:val="00A6754A"/>
    <w:rsid w:val="00A76931"/>
    <w:rsid w:val="00AA1E8C"/>
    <w:rsid w:val="00AA60E9"/>
    <w:rsid w:val="00AB5FBC"/>
    <w:rsid w:val="00B744E0"/>
    <w:rsid w:val="00B84EF8"/>
    <w:rsid w:val="00BB161E"/>
    <w:rsid w:val="00BB498F"/>
    <w:rsid w:val="00C20B52"/>
    <w:rsid w:val="00C77728"/>
    <w:rsid w:val="00CA6761"/>
    <w:rsid w:val="00CC67AA"/>
    <w:rsid w:val="00D34A8E"/>
    <w:rsid w:val="00D525D8"/>
    <w:rsid w:val="00DA4730"/>
    <w:rsid w:val="00DD2BBD"/>
    <w:rsid w:val="00DE61DD"/>
    <w:rsid w:val="00E240DD"/>
    <w:rsid w:val="00E46EF1"/>
    <w:rsid w:val="00E916FA"/>
    <w:rsid w:val="00EA30F3"/>
    <w:rsid w:val="00EA5FA8"/>
    <w:rsid w:val="00ED2B5F"/>
    <w:rsid w:val="00F0477F"/>
    <w:rsid w:val="00F262FF"/>
    <w:rsid w:val="00F75D30"/>
    <w:rsid w:val="06955EDD"/>
    <w:rsid w:val="2168640C"/>
    <w:rsid w:val="5E612863"/>
    <w:rsid w:val="5ED6173B"/>
    <w:rsid w:val="6CFE67A8"/>
    <w:rsid w:val="7DBD1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065A1B2"/>
  <w14:defaultImageDpi w14:val="32767"/>
  <w15:docId w15:val="{D0471C50-9DA6-4EF3-8A64-813D5A9C10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uiPriority w:val="35"/>
    <w:unhideWhenUsed/>
    <w:qFormat/>
    <w:rPr>
      <w:rFonts w:asciiTheme="majorHAnsi" w:eastAsia="黑体" w:hAnsiTheme="majorHAnsi" w:cstheme="majorBidi"/>
      <w:sz w:val="20"/>
      <w:szCs w:val="20"/>
    </w:rPr>
  </w:style>
  <w:style w:type="paragraph" w:styleId="a4">
    <w:name w:val="footer"/>
    <w:basedOn w:val="a"/>
    <w:link w:val="a5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a7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8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页眉 字符"/>
    <w:basedOn w:val="a0"/>
    <w:link w:val="a6"/>
    <w:uiPriority w:val="99"/>
    <w:qFormat/>
    <w:rPr>
      <w:sz w:val="18"/>
      <w:szCs w:val="18"/>
    </w:rPr>
  </w:style>
  <w:style w:type="character" w:customStyle="1" w:styleId="a5">
    <w:name w:val="页脚 字符"/>
    <w:basedOn w:val="a0"/>
    <w:link w:val="a4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126E76-1FC9-4FA8-9C5B-4ED7F9DEEE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543</Words>
  <Characters>3914</Characters>
  <Application>Microsoft Office Word</Application>
  <DocSecurity>0</DocSecurity>
  <Lines>285</Lines>
  <Paragraphs>248</Paragraphs>
  <ScaleCrop>false</ScaleCrop>
  <Company/>
  <LinksUpToDate>false</LinksUpToDate>
  <CharactersWithSpaces>4205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zhang shuaiyong</dc:creator>
  <cp:lastModifiedBy>雨萌 雷</cp:lastModifiedBy>
  <cp:revision>39</cp:revision>
  <dcterms:created xsi:type="dcterms:W3CDTF">2022-10-25T02:00:00Z</dcterms:created>
  <dcterms:modified xsi:type="dcterms:W3CDTF">2024-10-16T10:03:00Z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4133523C58C8444587C782DA3328A157_13</vt:lpwstr>
  </property>
  <property fmtid="{D5CDD505-2E9C-101B-9397-08002B2CF9AE}" pid="4" name="GrammarlyDocumentId">
    <vt:lpwstr>e346661d50716b0bc2953b9294a383ddf83d16f78f81e685dde751ccc7ac417c</vt:lpwstr>
  </property>
</Properties>
</file>